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9BE" w:rsidRPr="009E1C0E" w:rsidRDefault="000359BE" w:rsidP="000359BE">
      <w:pPr>
        <w:rPr>
          <w:rFonts w:ascii="Montserrat Bold" w:hAnsi="Montserrat Bold"/>
          <w:sz w:val="18"/>
          <w:szCs w:val="18"/>
          <w:lang w:val="es-MX"/>
        </w:rPr>
      </w:pPr>
    </w:p>
    <w:p w:rsidR="000359BE" w:rsidRDefault="000359BE" w:rsidP="000359BE">
      <w:pPr>
        <w:pStyle w:val="Subttulo"/>
        <w:spacing w:line="276" w:lineRule="auto"/>
        <w:jc w:val="left"/>
        <w:rPr>
          <w:rFonts w:ascii="Montserrat" w:hAnsi="Montserrat" w:cs="Arial"/>
          <w:sz w:val="18"/>
          <w:szCs w:val="19"/>
          <w:lang w:val="es-MX"/>
        </w:rPr>
      </w:pPr>
      <w:r>
        <w:rPr>
          <w:rFonts w:ascii="Montserrat" w:eastAsiaTheme="minorHAnsi" w:hAnsi="Montserrat" w:cstheme="minorBidi"/>
          <w:sz w:val="18"/>
          <w:szCs w:val="18"/>
          <w:lang w:val="es-MX" w:eastAsia="en-US"/>
        </w:rPr>
        <w:t xml:space="preserve">Asunto: Se comunica confidencialidad de la información  </w:t>
      </w:r>
    </w:p>
    <w:p w:rsidR="000359BE" w:rsidRDefault="000359BE" w:rsidP="000359BE">
      <w:pPr>
        <w:pStyle w:val="Subttulo"/>
        <w:spacing w:line="276" w:lineRule="auto"/>
        <w:rPr>
          <w:rFonts w:ascii="Montserrat" w:hAnsi="Montserrat" w:cs="Arial"/>
          <w:sz w:val="18"/>
          <w:szCs w:val="19"/>
          <w:lang w:val="es-MX"/>
        </w:rPr>
      </w:pPr>
    </w:p>
    <w:p w:rsidR="000359BE" w:rsidRDefault="000359BE" w:rsidP="000359BE">
      <w:pPr>
        <w:pStyle w:val="Subttulo"/>
        <w:spacing w:line="276" w:lineRule="auto"/>
        <w:rPr>
          <w:rFonts w:ascii="Montserrat" w:hAnsi="Montserrat" w:cs="Arial"/>
          <w:sz w:val="18"/>
          <w:szCs w:val="19"/>
          <w:lang w:val="es-MX"/>
        </w:rPr>
      </w:pPr>
      <w:r>
        <w:rPr>
          <w:rFonts w:ascii="Montserrat" w:hAnsi="Montserrat" w:cs="Arial"/>
          <w:sz w:val="18"/>
          <w:szCs w:val="19"/>
          <w:lang w:val="es-MX"/>
        </w:rPr>
        <w:t xml:space="preserve">Guadalupe, N.L., a </w:t>
      </w:r>
      <w:r w:rsidR="00D81B31">
        <w:rPr>
          <w:rFonts w:ascii="Montserrat" w:hAnsi="Montserrat" w:cs="Arial"/>
          <w:sz w:val="18"/>
          <w:szCs w:val="19"/>
          <w:lang w:val="es-MX"/>
        </w:rPr>
        <w:t xml:space="preserve">28 de junio de 2022 </w:t>
      </w:r>
    </w:p>
    <w:p w:rsidR="00D81B31" w:rsidRDefault="00D81B31" w:rsidP="000359BE">
      <w:pPr>
        <w:pStyle w:val="Subttulo"/>
        <w:spacing w:line="276" w:lineRule="auto"/>
        <w:rPr>
          <w:rFonts w:ascii="Montserrat" w:hAnsi="Montserrat" w:cs="Arial"/>
          <w:sz w:val="18"/>
          <w:szCs w:val="19"/>
          <w:lang w:val="es-MX"/>
        </w:rPr>
      </w:pPr>
      <w:r>
        <w:rPr>
          <w:rFonts w:ascii="Montserrat" w:hAnsi="Montserrat" w:cs="Arial"/>
          <w:sz w:val="18"/>
          <w:szCs w:val="19"/>
          <w:lang w:val="es-MX"/>
        </w:rPr>
        <w:t xml:space="preserve">.  </w:t>
      </w:r>
    </w:p>
    <w:p w:rsidR="000359BE" w:rsidRDefault="000359BE" w:rsidP="000359BE">
      <w:pPr>
        <w:pStyle w:val="Subttulo"/>
        <w:spacing w:line="276" w:lineRule="auto"/>
        <w:rPr>
          <w:rFonts w:ascii="Montserrat" w:hAnsi="Montserrat" w:cs="Arial"/>
          <w:sz w:val="18"/>
          <w:szCs w:val="19"/>
          <w:lang w:val="es-MX"/>
        </w:rPr>
      </w:pPr>
      <w:r>
        <w:rPr>
          <w:rFonts w:ascii="Montserrat" w:hAnsi="Montserrat" w:cs="Arial"/>
          <w:sz w:val="18"/>
          <w:szCs w:val="19"/>
          <w:lang w:val="es-MX"/>
        </w:rPr>
        <w:t xml:space="preserve"> </w:t>
      </w:r>
    </w:p>
    <w:p w:rsidR="000359BE" w:rsidRPr="009E1C0E" w:rsidRDefault="00D81B31" w:rsidP="000359BE">
      <w:pPr>
        <w:ind w:right="4445"/>
        <w:rPr>
          <w:rFonts w:ascii="Montserrat Bold" w:hAnsi="Montserrat Bold"/>
          <w:sz w:val="18"/>
          <w:szCs w:val="18"/>
          <w:lang w:val="es-MX"/>
        </w:rPr>
      </w:pPr>
      <w:r>
        <w:rPr>
          <w:rFonts w:ascii="Montserrat Bold" w:hAnsi="Montserrat Bold"/>
          <w:sz w:val="18"/>
          <w:szCs w:val="18"/>
          <w:lang w:val="es-MX"/>
        </w:rPr>
        <w:t xml:space="preserve">Comité de Transparencia del Servicio de Administración Tributaria         </w:t>
      </w:r>
    </w:p>
    <w:p w:rsidR="00D81B31" w:rsidRDefault="00D81B31" w:rsidP="000359BE">
      <w:pPr>
        <w:jc w:val="both"/>
        <w:rPr>
          <w:rFonts w:ascii="Montserrat Regular" w:hAnsi="Montserrat Regular"/>
          <w:sz w:val="18"/>
          <w:szCs w:val="18"/>
          <w:lang w:val="es-MX"/>
        </w:rPr>
      </w:pPr>
    </w:p>
    <w:p w:rsidR="000359BE" w:rsidRDefault="000359BE" w:rsidP="000359BE">
      <w:pPr>
        <w:jc w:val="both"/>
        <w:rPr>
          <w:rFonts w:ascii="Montserrat Regular" w:hAnsi="Montserrat Regular"/>
          <w:sz w:val="18"/>
          <w:szCs w:val="18"/>
          <w:lang w:val="es-MX"/>
        </w:rPr>
      </w:pPr>
      <w:r>
        <w:rPr>
          <w:rFonts w:ascii="Montserrat Regular" w:hAnsi="Montserrat Regular"/>
          <w:sz w:val="18"/>
          <w:szCs w:val="18"/>
          <w:lang w:val="es-MX"/>
        </w:rPr>
        <w:t xml:space="preserve">Se hace referencia a las obligaciones de transparencia derivadas del artículo 70, fracción XXXVI, de la Ley General de Transparencia y Acceso a la Información Pública, que se encuentra a cargo de la Administración General Jurídica. </w:t>
      </w:r>
    </w:p>
    <w:p w:rsidR="000359BE" w:rsidRDefault="000359BE" w:rsidP="000359BE">
      <w:pPr>
        <w:jc w:val="both"/>
        <w:rPr>
          <w:rFonts w:ascii="Montserrat Regular" w:hAnsi="Montserrat Regular"/>
          <w:sz w:val="18"/>
          <w:szCs w:val="18"/>
          <w:lang w:val="es-MX"/>
        </w:rPr>
      </w:pPr>
    </w:p>
    <w:p w:rsidR="000359BE" w:rsidRDefault="000359BE" w:rsidP="000359BE">
      <w:pPr>
        <w:jc w:val="both"/>
        <w:rPr>
          <w:rFonts w:ascii="Montserrat Regular" w:hAnsi="Montserrat Regular"/>
          <w:sz w:val="18"/>
          <w:szCs w:val="18"/>
          <w:lang w:val="es-MX"/>
        </w:rPr>
      </w:pPr>
      <w:r>
        <w:rPr>
          <w:rFonts w:ascii="Montserrat Regular" w:hAnsi="Montserrat Regular"/>
          <w:sz w:val="18"/>
          <w:szCs w:val="18"/>
          <w:lang w:val="es-MX"/>
        </w:rPr>
        <w:t xml:space="preserve">Al respecto, se informa que las resoluciones a los recursos de revocación que causaron firmeza en el </w:t>
      </w:r>
      <w:r>
        <w:rPr>
          <w:rFonts w:ascii="Montserrat Regular" w:hAnsi="Montserrat Regular"/>
          <w:b/>
          <w:sz w:val="18"/>
          <w:szCs w:val="18"/>
          <w:lang w:val="es-MX"/>
        </w:rPr>
        <w:t xml:space="preserve">segundo trimestre del 2022 </w:t>
      </w:r>
      <w:r>
        <w:rPr>
          <w:rFonts w:ascii="Montserrat Regular" w:hAnsi="Montserrat Regular"/>
          <w:sz w:val="18"/>
          <w:szCs w:val="18"/>
          <w:lang w:val="es-MX"/>
        </w:rPr>
        <w:t xml:space="preserve">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 </w:t>
      </w:r>
    </w:p>
    <w:p w:rsidR="000359BE" w:rsidRDefault="000359BE" w:rsidP="000359BE">
      <w:pPr>
        <w:jc w:val="both"/>
        <w:rPr>
          <w:rFonts w:ascii="Montserrat Regular" w:hAnsi="Montserrat Regular"/>
          <w:sz w:val="18"/>
          <w:szCs w:val="18"/>
          <w:lang w:val="es-MX"/>
        </w:rPr>
      </w:pPr>
    </w:p>
    <w:p w:rsidR="000359BE" w:rsidRDefault="000359BE" w:rsidP="000359BE">
      <w:pPr>
        <w:jc w:val="both"/>
        <w:rPr>
          <w:rFonts w:ascii="Montserrat Regular" w:hAnsi="Montserrat Regular"/>
          <w:sz w:val="18"/>
          <w:szCs w:val="18"/>
          <w:lang w:val="es-MX"/>
        </w:rPr>
      </w:pPr>
      <w:r>
        <w:rPr>
          <w:rFonts w:ascii="Montserrat Regular" w:hAnsi="Montserrat Regular"/>
          <w:sz w:val="18"/>
          <w:szCs w:val="18"/>
          <w:lang w:val="es-MX"/>
        </w:rPr>
        <w:t>En consecuencia, la información confidencial que se testa en las versiones públicas, por encontrase protegida por el secreto fiscal, entre otra, es la siguiente:</w:t>
      </w:r>
    </w:p>
    <w:p w:rsidR="000359BE" w:rsidRDefault="000359BE" w:rsidP="000359BE">
      <w:pPr>
        <w:jc w:val="both"/>
        <w:rPr>
          <w:rFonts w:ascii="Montserrat Regular" w:hAnsi="Montserrat Regular"/>
          <w:sz w:val="18"/>
          <w:szCs w:val="18"/>
          <w:lang w:val="es-MX"/>
        </w:rPr>
      </w:pPr>
    </w:p>
    <w:p w:rsidR="000359BE" w:rsidRDefault="000359BE" w:rsidP="000359BE">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Nombre, denominación y razón social de contribuyentes.</w:t>
      </w:r>
    </w:p>
    <w:p w:rsidR="000359BE" w:rsidRDefault="000359BE" w:rsidP="000359BE">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Clave del Registro Federal de Contribuyentes.</w:t>
      </w:r>
    </w:p>
    <w:p w:rsidR="000359BE" w:rsidRDefault="000359BE" w:rsidP="000359BE">
      <w:pPr>
        <w:numPr>
          <w:ilvl w:val="0"/>
          <w:numId w:val="1"/>
        </w:numPr>
        <w:contextualSpacing/>
        <w:jc w:val="both"/>
        <w:rPr>
          <w:rFonts w:ascii="Montserrat Regular" w:hAnsi="Montserrat Regular"/>
          <w:sz w:val="18"/>
          <w:szCs w:val="18"/>
          <w:lang w:val="es-MX"/>
        </w:rPr>
      </w:pPr>
      <w:r>
        <w:rPr>
          <w:rFonts w:ascii="Montserrat Regular" w:hAnsi="Montserrat Regular"/>
          <w:sz w:val="18"/>
          <w:szCs w:val="18"/>
          <w:lang w:val="es-MX"/>
        </w:rPr>
        <w:t xml:space="preserve">Representante legal. </w:t>
      </w:r>
    </w:p>
    <w:p w:rsidR="000359BE" w:rsidRDefault="000359BE" w:rsidP="000359BE">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Domicilio fiscal.</w:t>
      </w:r>
    </w:p>
    <w:p w:rsidR="000359BE" w:rsidRDefault="000359BE" w:rsidP="000359BE">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Domicilio para oír y recibir notificaciones.</w:t>
      </w:r>
    </w:p>
    <w:p w:rsidR="000359BE" w:rsidRDefault="000359BE" w:rsidP="000359BE">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Montos de créditos fiscales.</w:t>
      </w:r>
    </w:p>
    <w:p w:rsidR="000359BE" w:rsidRDefault="000359BE" w:rsidP="000359BE">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Folio SIFEN, Cadena, Sello digital, código QR y firma digital del funcionario</w:t>
      </w:r>
    </w:p>
    <w:p w:rsidR="000359BE" w:rsidRDefault="000359BE" w:rsidP="000359BE">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Resolución recurrida.</w:t>
      </w:r>
    </w:p>
    <w:p w:rsidR="000359BE" w:rsidRDefault="000359BE" w:rsidP="000359BE">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Número de juicio.</w:t>
      </w:r>
    </w:p>
    <w:p w:rsidR="000359BE" w:rsidRDefault="000359BE" w:rsidP="000359BE">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Orden de vista.</w:t>
      </w:r>
    </w:p>
    <w:p w:rsidR="000359BE" w:rsidRDefault="000359BE" w:rsidP="000359BE">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Proveedores.</w:t>
      </w:r>
    </w:p>
    <w:p w:rsidR="000359BE" w:rsidRDefault="000359BE" w:rsidP="000359BE">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Ejercicio revisado.</w:t>
      </w:r>
    </w:p>
    <w:p w:rsidR="000359BE" w:rsidRDefault="000359BE" w:rsidP="000359BE">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Apoderado legal.</w:t>
      </w:r>
    </w:p>
    <w:p w:rsidR="000359BE" w:rsidRDefault="000359BE" w:rsidP="000359BE">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Datos de facturas: fecha, montos, impuesto, concepto.</w:t>
      </w:r>
    </w:p>
    <w:p w:rsidR="000359BE" w:rsidRDefault="000359BE" w:rsidP="000359BE">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Número de orden de revisión de gabinete.</w:t>
      </w:r>
    </w:p>
    <w:p w:rsidR="000359BE" w:rsidRDefault="000359BE" w:rsidP="000359BE">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Número de oficio.</w:t>
      </w:r>
    </w:p>
    <w:p w:rsidR="000359BE" w:rsidRDefault="000359BE" w:rsidP="000359BE">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Contribución.</w:t>
      </w:r>
    </w:p>
    <w:p w:rsidR="000359BE" w:rsidRDefault="000359BE" w:rsidP="000359BE">
      <w:pPr>
        <w:spacing w:after="200"/>
        <w:ind w:left="360"/>
        <w:contextualSpacing/>
        <w:jc w:val="both"/>
        <w:rPr>
          <w:rFonts w:ascii="Montserrat Regular" w:hAnsi="Montserrat Regular"/>
          <w:sz w:val="18"/>
          <w:szCs w:val="18"/>
          <w:lang w:val="es-MX"/>
        </w:rPr>
      </w:pPr>
    </w:p>
    <w:p w:rsidR="000359BE" w:rsidRDefault="000359BE" w:rsidP="000359BE">
      <w:pPr>
        <w:jc w:val="both"/>
        <w:rPr>
          <w:rFonts w:ascii="Montserrat Regular" w:hAnsi="Montserrat Regular"/>
          <w:sz w:val="18"/>
          <w:szCs w:val="18"/>
          <w:lang w:val="es-MX"/>
        </w:rPr>
      </w:pPr>
      <w:r>
        <w:rPr>
          <w:rFonts w:ascii="Montserrat Regular" w:hAnsi="Montserrat Regular"/>
          <w:sz w:val="18"/>
          <w:szCs w:val="18"/>
          <w:lang w:val="es-MX"/>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w:t>
      </w:r>
      <w:r>
        <w:rPr>
          <w:rFonts w:ascii="Montserrat Regular" w:hAnsi="Montserrat Regular"/>
          <w:sz w:val="18"/>
          <w:szCs w:val="18"/>
          <w:lang w:val="es-MX"/>
        </w:rPr>
        <w:lastRenderedPageBreak/>
        <w:t>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0359BE" w:rsidRDefault="000359BE" w:rsidP="000359BE">
      <w:pPr>
        <w:tabs>
          <w:tab w:val="left" w:pos="3404"/>
        </w:tabs>
        <w:jc w:val="both"/>
        <w:rPr>
          <w:rFonts w:ascii="Montserrat Regular" w:hAnsi="Montserrat Regular"/>
          <w:sz w:val="18"/>
          <w:szCs w:val="18"/>
          <w:lang w:val="es-MX"/>
        </w:rPr>
      </w:pPr>
    </w:p>
    <w:p w:rsidR="000359BE" w:rsidRDefault="000359BE" w:rsidP="000359BE">
      <w:pPr>
        <w:tabs>
          <w:tab w:val="left" w:pos="3404"/>
        </w:tabs>
        <w:jc w:val="both"/>
        <w:rPr>
          <w:rFonts w:ascii="Montserrat Regular" w:hAnsi="Montserrat Regular"/>
          <w:sz w:val="18"/>
          <w:szCs w:val="18"/>
          <w:lang w:val="es-MX"/>
        </w:rPr>
      </w:pPr>
      <w:r>
        <w:rPr>
          <w:rFonts w:ascii="Montserrat Regular" w:hAnsi="Montserrat Regular"/>
          <w:sz w:val="18"/>
          <w:szCs w:val="18"/>
          <w:lang w:val="es-MX"/>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rsidR="000359BE" w:rsidRDefault="000359BE" w:rsidP="000359BE">
      <w:pPr>
        <w:tabs>
          <w:tab w:val="left" w:pos="3404"/>
        </w:tabs>
        <w:jc w:val="both"/>
        <w:rPr>
          <w:rFonts w:ascii="Montserrat" w:hAnsi="Montserrat"/>
          <w:b/>
          <w:sz w:val="18"/>
          <w:szCs w:val="18"/>
        </w:rPr>
      </w:pPr>
    </w:p>
    <w:p w:rsidR="000359BE" w:rsidRDefault="000359BE" w:rsidP="000359BE">
      <w:pPr>
        <w:ind w:right="6236"/>
        <w:rPr>
          <w:rFonts w:ascii="Montserrat Bold" w:hAnsi="Montserrat Bold"/>
          <w:sz w:val="18"/>
          <w:szCs w:val="18"/>
          <w:lang w:val="es-MX"/>
        </w:rPr>
      </w:pPr>
      <w:r>
        <w:rPr>
          <w:rFonts w:ascii="Montserrat Bold" w:hAnsi="Montserrat Bold"/>
          <w:sz w:val="18"/>
          <w:szCs w:val="18"/>
          <w:lang w:val="es-MX"/>
        </w:rPr>
        <w:t>A t e n t a m e n t e</w:t>
      </w:r>
    </w:p>
    <w:p w:rsidR="000359BE" w:rsidRDefault="00A56ACD" w:rsidP="000359BE">
      <w:pPr>
        <w:ind w:right="-93"/>
        <w:jc w:val="both"/>
        <w:rPr>
          <w:rFonts w:ascii="Montserrat" w:eastAsia="Times" w:hAnsi="Montserrat" w:cs="Arial"/>
          <w:b/>
          <w:sz w:val="14"/>
          <w:szCs w:val="18"/>
        </w:rPr>
      </w:pPr>
      <w:bookmarkStart w:id="0" w:name="_GoBack"/>
      <w:bookmarkEnd w:id="0"/>
      <w:r>
        <w:rPr>
          <w:rFonts w:ascii="Montserrat" w:eastAsia="Times" w:hAnsi="Montserrat" w:cs="Arial"/>
          <w:b/>
          <w:noProof/>
          <w:sz w:val="14"/>
          <w:szCs w:val="18"/>
          <w:lang w:val="es-MX" w:eastAsia="es-MX"/>
        </w:rPr>
        <w:drawing>
          <wp:anchor distT="0" distB="0" distL="114300" distR="114300" simplePos="0" relativeHeight="251658240" behindDoc="0" locked="0" layoutInCell="1" allowOverlap="1">
            <wp:simplePos x="0" y="0"/>
            <wp:positionH relativeFrom="column">
              <wp:posOffset>4711700</wp:posOffset>
            </wp:positionH>
            <wp:positionV relativeFrom="paragraph">
              <wp:posOffset>15240</wp:posOffset>
            </wp:positionV>
            <wp:extent cx="990600" cy="990600"/>
            <wp:effectExtent l="0" t="0" r="0" b="0"/>
            <wp:wrapNone/>
            <wp:docPr id="5" name="Imagen 5"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7">
                      <a:extLst>
                        <a:ext uri="{28A0092B-C50C-407E-A947-70E740481C1C}">
                          <a14:useLocalDpi xmlns:a14="http://schemas.microsoft.com/office/drawing/2010/main" val="0"/>
                        </a:ext>
                      </a:extLst>
                    </a:blip>
                    <a:stretch>
                      <a:fillRect/>
                    </a:stretch>
                  </pic:blipFill>
                  <pic:spPr>
                    <a:xfrm>
                      <a:off x="0" y="0"/>
                      <a:ext cx="990600" cy="990600"/>
                    </a:xfrm>
                    <a:prstGeom prst="rect">
                      <a:avLst/>
                    </a:prstGeom>
                  </pic:spPr>
                </pic:pic>
              </a:graphicData>
            </a:graphic>
          </wp:anchor>
        </w:drawing>
      </w:r>
    </w:p>
    <w:p w:rsidR="000359BE" w:rsidRDefault="000359BE" w:rsidP="000359BE">
      <w:pPr>
        <w:ind w:right="-93"/>
        <w:jc w:val="both"/>
        <w:rPr>
          <w:rFonts w:ascii="Montserrat" w:eastAsia="Times" w:hAnsi="Montserrat" w:cs="Arial"/>
          <w:b/>
          <w:sz w:val="18"/>
          <w:szCs w:val="18"/>
        </w:rPr>
      </w:pPr>
    </w:p>
    <w:p w:rsidR="000359BE" w:rsidRDefault="000359BE" w:rsidP="000359BE">
      <w:pPr>
        <w:ind w:right="-93"/>
        <w:jc w:val="both"/>
        <w:rPr>
          <w:rFonts w:ascii="Montserrat" w:eastAsia="Times" w:hAnsi="Montserrat" w:cs="Arial"/>
          <w:b/>
          <w:sz w:val="18"/>
          <w:szCs w:val="18"/>
        </w:rPr>
      </w:pPr>
    </w:p>
    <w:p w:rsidR="000359BE" w:rsidRDefault="000359BE" w:rsidP="000359BE">
      <w:pPr>
        <w:ind w:right="-93"/>
        <w:jc w:val="both"/>
        <w:rPr>
          <w:rFonts w:ascii="Montserrat" w:eastAsia="Times" w:hAnsi="Montserrat" w:cs="Arial"/>
          <w:b/>
          <w:sz w:val="18"/>
          <w:szCs w:val="18"/>
        </w:rPr>
      </w:pPr>
    </w:p>
    <w:p w:rsidR="000359BE" w:rsidRDefault="000359BE" w:rsidP="000359BE">
      <w:pPr>
        <w:ind w:right="-93"/>
        <w:jc w:val="both"/>
        <w:rPr>
          <w:rFonts w:ascii="Montserrat" w:eastAsia="Times" w:hAnsi="Montserrat" w:cs="Arial"/>
          <w:b/>
          <w:sz w:val="18"/>
          <w:szCs w:val="18"/>
        </w:rPr>
      </w:pPr>
    </w:p>
    <w:p w:rsidR="000359BE" w:rsidRDefault="000359BE" w:rsidP="000359BE">
      <w:pPr>
        <w:ind w:right="-93"/>
        <w:jc w:val="both"/>
        <w:rPr>
          <w:rFonts w:ascii="Montserrat" w:eastAsia="Times" w:hAnsi="Montserrat" w:cs="Arial"/>
          <w:b/>
          <w:sz w:val="18"/>
          <w:szCs w:val="18"/>
        </w:rPr>
      </w:pPr>
    </w:p>
    <w:p w:rsidR="000359BE" w:rsidRDefault="000359BE" w:rsidP="000359BE">
      <w:pPr>
        <w:ind w:right="-93"/>
        <w:jc w:val="both"/>
        <w:rPr>
          <w:rFonts w:ascii="Montserrat" w:eastAsia="Times" w:hAnsi="Montserrat" w:cs="Arial"/>
          <w:b/>
          <w:sz w:val="18"/>
          <w:szCs w:val="18"/>
        </w:rPr>
      </w:pPr>
    </w:p>
    <w:p w:rsidR="000359BE" w:rsidRDefault="000359BE" w:rsidP="000359BE">
      <w:pPr>
        <w:ind w:right="-93"/>
        <w:jc w:val="both"/>
        <w:rPr>
          <w:rFonts w:ascii="Montserrat" w:eastAsia="Times" w:hAnsi="Montserrat" w:cs="Arial"/>
          <w:b/>
          <w:sz w:val="18"/>
          <w:szCs w:val="18"/>
        </w:rPr>
      </w:pPr>
    </w:p>
    <w:p w:rsidR="000359BE" w:rsidRDefault="00D81B31" w:rsidP="000359BE">
      <w:pPr>
        <w:pStyle w:val="Atentamente"/>
        <w:tabs>
          <w:tab w:val="left" w:pos="9498"/>
          <w:tab w:val="left" w:pos="9639"/>
        </w:tabs>
        <w:ind w:left="0" w:right="2126"/>
        <w:jc w:val="both"/>
        <w:rPr>
          <w:rFonts w:ascii="Montserrat" w:eastAsia="Times" w:hAnsi="Montserrat" w:cs="Arial"/>
          <w:b/>
          <w:sz w:val="18"/>
          <w:szCs w:val="18"/>
          <w:lang w:val="es-MX"/>
        </w:rPr>
      </w:pPr>
      <w:r>
        <w:rPr>
          <w:rFonts w:ascii="Montserrat" w:eastAsia="Times" w:hAnsi="Montserrat" w:cs="Arial"/>
          <w:b/>
          <w:sz w:val="18"/>
          <w:szCs w:val="18"/>
          <w:lang w:val="es-MX"/>
        </w:rPr>
        <w:t>Lic.</w:t>
      </w:r>
      <w:r w:rsidR="00A31505">
        <w:rPr>
          <w:rFonts w:ascii="Montserrat" w:eastAsia="Times" w:hAnsi="Montserrat" w:cs="Arial"/>
          <w:b/>
          <w:sz w:val="18"/>
          <w:szCs w:val="18"/>
          <w:lang w:val="es-MX"/>
        </w:rPr>
        <w:t xml:space="preserve">Carlos Rodrigo Escamilla Ortiz </w:t>
      </w:r>
      <w:r>
        <w:rPr>
          <w:rFonts w:ascii="Montserrat" w:eastAsia="Times" w:hAnsi="Montserrat" w:cs="Arial"/>
          <w:b/>
          <w:sz w:val="18"/>
          <w:szCs w:val="18"/>
          <w:lang w:val="es-MX"/>
        </w:rPr>
        <w:t xml:space="preserve"> </w:t>
      </w:r>
    </w:p>
    <w:p w:rsidR="00D81B31" w:rsidRDefault="00A31505" w:rsidP="000359BE">
      <w:pPr>
        <w:pStyle w:val="Atentamente"/>
        <w:tabs>
          <w:tab w:val="left" w:pos="9498"/>
          <w:tab w:val="left" w:pos="9639"/>
        </w:tabs>
        <w:ind w:left="0" w:right="2126"/>
        <w:jc w:val="both"/>
        <w:rPr>
          <w:rFonts w:ascii="Montserrat" w:eastAsia="Times" w:hAnsi="Montserrat" w:cs="Arial"/>
          <w:sz w:val="18"/>
          <w:szCs w:val="18"/>
          <w:lang w:val="es-MX"/>
        </w:rPr>
      </w:pPr>
      <w:r>
        <w:rPr>
          <w:rFonts w:ascii="Montserrat" w:eastAsia="Times" w:hAnsi="Montserrat" w:cs="Arial"/>
          <w:sz w:val="18"/>
          <w:szCs w:val="18"/>
          <w:lang w:val="es-MX"/>
        </w:rPr>
        <w:t xml:space="preserve">Subadministrador Desconcentrado Jurídico de la Administración Desconcentrada Jurídica de Nuevo León "3" </w:t>
      </w:r>
      <w:r w:rsidR="00D81B31">
        <w:rPr>
          <w:rFonts w:ascii="Montserrat" w:eastAsia="Times" w:hAnsi="Montserrat" w:cs="Arial"/>
          <w:sz w:val="18"/>
          <w:szCs w:val="18"/>
          <w:lang w:val="es-MX"/>
        </w:rPr>
        <w:t xml:space="preserve"> </w:t>
      </w:r>
    </w:p>
    <w:p w:rsidR="00D81B31" w:rsidRDefault="00D81B31" w:rsidP="000359BE">
      <w:pPr>
        <w:pStyle w:val="Atentamente"/>
        <w:tabs>
          <w:tab w:val="left" w:pos="9498"/>
          <w:tab w:val="left" w:pos="9639"/>
        </w:tabs>
        <w:ind w:left="0" w:right="2126"/>
        <w:jc w:val="both"/>
        <w:rPr>
          <w:rFonts w:ascii="Montserrat" w:eastAsia="Times" w:hAnsi="Montserrat" w:cs="Arial"/>
          <w:sz w:val="18"/>
          <w:szCs w:val="18"/>
          <w:lang w:val="es-MX"/>
        </w:rPr>
      </w:pPr>
    </w:p>
    <w:p w:rsidR="002B3C9A" w:rsidRDefault="002B3C9A" w:rsidP="00D81B31">
      <w:pPr>
        <w:pStyle w:val="Atentamente"/>
        <w:tabs>
          <w:tab w:val="left" w:pos="9498"/>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Firma Electrónica:</w:t>
      </w:r>
    </w:p>
    <w:p w:rsidR="00D81B31" w:rsidRDefault="002B3C9A" w:rsidP="00D81B31">
      <w:pPr>
        <w:pStyle w:val="Atentamente"/>
        <w:tabs>
          <w:tab w:val="left" w:pos="9498"/>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 xml:space="preserve">Ad9NRs+AecrdzgrvxNQ8FjwfgOWxM+wSxWb1rY94O67WQYZ/LWOG90YXW9Rhpt91+GFViq6GEkHVQ16bEmtcpp8yQr2WNUeLkyn70AL/D3AhpbO4sfpBJwdxtpsOfI5IQmWLM7xhcdXU+ul4+NiaPIKnqASdJXAmcJ6gwnf14vo4et0tKWFjD6trMH3ldf8ODXJBNPCPHfqyN6rU5ckQoJraoXIMF1L0R4v3AmXlUior40JMb2JSqAKHPQUrqm+jsqwq75A+ZZdrzebQCfZdAwXYIXcO5SOxbJyfTpLZQCsjRpDPlFZF4T+bYGHAfLiiMXz7wbCb1cjqsAHVRqKmuQ== </w:t>
      </w:r>
      <w:r w:rsidR="00D81B31">
        <w:rPr>
          <w:rFonts w:ascii="Montserrat" w:eastAsia="Times" w:hAnsi="Montserrat" w:cs="Arial"/>
          <w:sz w:val="18"/>
          <w:szCs w:val="18"/>
          <w:lang w:val="es-MX"/>
        </w:rPr>
        <w:t xml:space="preserve"> </w:t>
      </w:r>
    </w:p>
    <w:p w:rsidR="00D81B31" w:rsidRDefault="00D81B31" w:rsidP="00D81B31">
      <w:pPr>
        <w:pStyle w:val="Atentamente"/>
        <w:tabs>
          <w:tab w:val="left" w:pos="9498"/>
          <w:tab w:val="left" w:pos="9639"/>
        </w:tabs>
        <w:ind w:left="0" w:right="-91"/>
        <w:jc w:val="both"/>
        <w:rPr>
          <w:rFonts w:ascii="Montserrat" w:eastAsia="Times" w:hAnsi="Montserrat" w:cs="Arial"/>
          <w:sz w:val="18"/>
          <w:szCs w:val="18"/>
          <w:lang w:val="es-MX"/>
        </w:rPr>
      </w:pPr>
    </w:p>
    <w:p w:rsidR="002B3C9A" w:rsidRDefault="002B3C9A" w:rsidP="00D81B31">
      <w:pPr>
        <w:pStyle w:val="Atentamente"/>
        <w:tabs>
          <w:tab w:val="left" w:pos="9498"/>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 xml:space="preserve">Cadena original: </w:t>
      </w:r>
    </w:p>
    <w:p w:rsidR="002B3C9A" w:rsidRDefault="002B3C9A" w:rsidP="00D81B31">
      <w:pPr>
        <w:pStyle w:val="Atentamente"/>
        <w:tabs>
          <w:tab w:val="left" w:pos="9498"/>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||SAT970701NN3|Comité de Transparencia del Servicio de Administración Tributaria        |600-42-2022-05-4172|28 de junio de 2022|6/28/2022 5:28:54 PM|00001088888800000031||</w:t>
      </w:r>
    </w:p>
    <w:p w:rsidR="002B3C9A" w:rsidRDefault="002B3C9A" w:rsidP="00D81B31">
      <w:pPr>
        <w:pStyle w:val="Atentamente"/>
        <w:tabs>
          <w:tab w:val="left" w:pos="9498"/>
          <w:tab w:val="left" w:pos="9639"/>
        </w:tabs>
        <w:ind w:left="0" w:right="-91"/>
        <w:jc w:val="both"/>
        <w:rPr>
          <w:rFonts w:ascii="Montserrat" w:eastAsia="Times" w:hAnsi="Montserrat" w:cs="Arial"/>
          <w:sz w:val="18"/>
          <w:szCs w:val="18"/>
          <w:lang w:val="es-MX"/>
        </w:rPr>
      </w:pPr>
    </w:p>
    <w:p w:rsidR="002B3C9A" w:rsidRDefault="002B3C9A" w:rsidP="00D81B31">
      <w:pPr>
        <w:pStyle w:val="Atentamente"/>
        <w:tabs>
          <w:tab w:val="left" w:pos="9498"/>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 xml:space="preserve">Sello digital: </w:t>
      </w:r>
    </w:p>
    <w:p w:rsidR="00D81B31" w:rsidRDefault="002B3C9A" w:rsidP="00D81B31">
      <w:pPr>
        <w:pStyle w:val="Atentamente"/>
        <w:tabs>
          <w:tab w:val="left" w:pos="9498"/>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 xml:space="preserve">JOSyDEE5wLDkvZ8E8z9n9ECxdPmRGjhZLzhOVG/nswmZnNiREqQ6IWgGBc8b2TKZ+wRO4rueDALFExiHeklUoxB8XPvLXfaAxvIUDUzeMYLb2BFwYnEucWCj1B5iK+z84JvmP2c4MoW1f6Jmqq/zKETFvRsULf08HQpzwlsNgDI= </w:t>
      </w:r>
      <w:r w:rsidR="00D81B31">
        <w:rPr>
          <w:rFonts w:ascii="Montserrat" w:eastAsia="Times" w:hAnsi="Montserrat" w:cs="Arial"/>
          <w:sz w:val="18"/>
          <w:szCs w:val="18"/>
          <w:lang w:val="es-MX"/>
        </w:rPr>
        <w:t xml:space="preserve"> </w:t>
      </w:r>
    </w:p>
    <w:p w:rsidR="000359BE" w:rsidRDefault="000359BE" w:rsidP="000359BE">
      <w:pPr>
        <w:pStyle w:val="Atentamente"/>
        <w:tabs>
          <w:tab w:val="left" w:pos="9498"/>
          <w:tab w:val="left" w:pos="9639"/>
        </w:tabs>
        <w:ind w:left="0" w:right="-91"/>
        <w:jc w:val="both"/>
        <w:rPr>
          <w:rFonts w:ascii="Montserrat" w:eastAsia="Times" w:hAnsi="Montserrat" w:cs="Arial"/>
          <w:sz w:val="18"/>
          <w:szCs w:val="18"/>
          <w:lang w:val="es-MX"/>
        </w:rPr>
      </w:pPr>
    </w:p>
    <w:p w:rsidR="001B7B00" w:rsidRDefault="001B7B00" w:rsidP="001B7B00">
      <w:pPr>
        <w:pStyle w:val="wordsection1"/>
        <w:shd w:val="clear" w:color="auto" w:fill="FFFFFF"/>
        <w:jc w:val="both"/>
        <w:rPr>
          <w:rFonts w:ascii="Montserrat" w:hAnsi="Montserrat"/>
          <w:i/>
          <w:iCs/>
          <w:sz w:val="18"/>
          <w:szCs w:val="16"/>
          <w:lang w:val="it-CH" w:eastAsia="es-ES"/>
        </w:rPr>
      </w:pPr>
      <w:r>
        <w:rPr>
          <w:rFonts w:ascii="Montserrat" w:hAnsi="Montserrat"/>
          <w:i/>
          <w:iCs/>
          <w:sz w:val="18"/>
          <w:szCs w:val="16"/>
          <w:lang w:val="it-CH"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rsidR="001B7B00" w:rsidRDefault="001B7B00" w:rsidP="001B7B00">
      <w:pPr>
        <w:pStyle w:val="wordsection1"/>
        <w:shd w:val="clear" w:color="auto" w:fill="FFFFFF"/>
        <w:jc w:val="both"/>
        <w:rPr>
          <w:rFonts w:ascii="Montserrat" w:hAnsi="Montserrat"/>
          <w:i/>
          <w:iCs/>
          <w:sz w:val="18"/>
          <w:szCs w:val="16"/>
          <w:lang w:val="it-CH" w:eastAsia="es-ES"/>
        </w:rPr>
      </w:pPr>
    </w:p>
    <w:p w:rsidR="001B7B00" w:rsidRDefault="001B7B00" w:rsidP="001B7B00">
      <w:pPr>
        <w:pStyle w:val="wordsection1"/>
        <w:shd w:val="clear" w:color="auto" w:fill="FFFFFF"/>
        <w:jc w:val="both"/>
        <w:rPr>
          <w:rFonts w:ascii="Montserrat" w:hAnsi="Montserrat"/>
          <w:i/>
          <w:iCs/>
          <w:sz w:val="18"/>
          <w:szCs w:val="16"/>
          <w:lang w:val="it-CH" w:eastAsia="es-ES"/>
        </w:rPr>
      </w:pPr>
      <w:r>
        <w:rPr>
          <w:rFonts w:ascii="Montserrat" w:hAnsi="Montserrat"/>
          <w:i/>
          <w:iCs/>
          <w:sz w:val="18"/>
          <w:szCs w:val="16"/>
          <w:lang w:val="it-CH" w:eastAsia="es-ES"/>
        </w:rPr>
        <w:t>De conformidad con lo establecido en los artículos 17-I, y 38, tercer a sexto párrafos del Código Fiscal de la Federación, la integridad y autoría del presente documento se podrá comprobar conforme a lo previsto en la regla 2.11.3, de la Resolución Miscelánea Fiscal para 2022, publicada en el Diario Oficial de la Federación el 27 de diciembre de 2021.</w:t>
      </w:r>
    </w:p>
    <w:p w:rsidR="001B7B00" w:rsidRDefault="001B7B00" w:rsidP="001B7B00">
      <w:pPr>
        <w:tabs>
          <w:tab w:val="left" w:pos="7039"/>
        </w:tabs>
        <w:ind w:right="-39"/>
        <w:jc w:val="both"/>
        <w:rPr>
          <w:rFonts w:ascii="Montserrat" w:eastAsia="MS Mincho" w:hAnsi="Montserrat"/>
          <w:i/>
          <w:iCs/>
          <w:sz w:val="18"/>
          <w:szCs w:val="16"/>
          <w:lang w:val="it-CH"/>
        </w:rPr>
      </w:pPr>
    </w:p>
    <w:p w:rsidR="001B7B00" w:rsidRDefault="001B7B00" w:rsidP="001B7B00">
      <w:pPr>
        <w:tabs>
          <w:tab w:val="left" w:pos="7039"/>
        </w:tabs>
        <w:ind w:right="-39"/>
        <w:jc w:val="both"/>
        <w:rPr>
          <w:rFonts w:ascii="Montserrat" w:eastAsia="MS Mincho" w:hAnsi="Montserrat" w:cs="Arial"/>
          <w:b/>
          <w:i/>
          <w:caps/>
          <w:sz w:val="18"/>
          <w:szCs w:val="16"/>
        </w:rPr>
      </w:pPr>
      <w:r>
        <w:rPr>
          <w:rFonts w:ascii="Montserrat" w:eastAsia="MS Mincho" w:hAnsi="Montserrat"/>
          <w:i/>
          <w:iCs/>
          <w:sz w:val="18"/>
          <w:szCs w:val="16"/>
        </w:rPr>
        <w:t>La presente información se encuentra clasificada como reservada en términos de lo dispuesto en los artículos 110 fracción XIII de la Ley Federal de Transparencia y Acceso a la Información Pública, así como en los diversos 69 del Código Fiscal de la Federación y 2, fracción VII de la Ley Federal de los Derechos del Contribuyente.</w:t>
      </w:r>
    </w:p>
    <w:p w:rsidR="001B7B00" w:rsidRDefault="001B7B00" w:rsidP="001B7B00">
      <w:pPr>
        <w:tabs>
          <w:tab w:val="left" w:pos="5529"/>
          <w:tab w:val="left" w:pos="8640"/>
        </w:tabs>
        <w:ind w:left="567" w:right="-1" w:hanging="567"/>
        <w:jc w:val="both"/>
        <w:outlineLvl w:val="0"/>
        <w:rPr>
          <w:rFonts w:ascii="Montserrat" w:eastAsia="MS Mincho" w:hAnsi="Montserrat" w:cs="Times New Roman"/>
          <w:sz w:val="2"/>
          <w:szCs w:val="18"/>
          <w:lang w:eastAsia="es-ES"/>
        </w:rPr>
      </w:pPr>
    </w:p>
    <w:p w:rsidR="000359BE" w:rsidRDefault="000359BE" w:rsidP="000359BE">
      <w:pPr>
        <w:tabs>
          <w:tab w:val="left" w:pos="5529"/>
          <w:tab w:val="left" w:pos="8640"/>
        </w:tabs>
        <w:ind w:left="567" w:right="-1" w:hanging="567"/>
        <w:jc w:val="both"/>
        <w:outlineLvl w:val="0"/>
        <w:rPr>
          <w:rFonts w:ascii="Montserrat" w:eastAsia="MS Mincho" w:hAnsi="Montserrat" w:cs="Times New Roman"/>
          <w:sz w:val="2"/>
          <w:szCs w:val="18"/>
          <w:lang w:eastAsia="es-ES"/>
        </w:rPr>
      </w:pPr>
    </w:p>
    <w:p w:rsidR="000359BE" w:rsidRDefault="000359BE" w:rsidP="000359BE">
      <w:pPr>
        <w:tabs>
          <w:tab w:val="left" w:pos="5529"/>
          <w:tab w:val="left" w:pos="8640"/>
        </w:tabs>
        <w:ind w:left="567" w:right="-1" w:hanging="567"/>
        <w:jc w:val="both"/>
        <w:outlineLvl w:val="0"/>
        <w:rPr>
          <w:rFonts w:ascii="Montserrat" w:eastAsia="MS Mincho" w:hAnsi="Montserrat" w:cs="Times New Roman"/>
          <w:sz w:val="6"/>
          <w:szCs w:val="18"/>
          <w:lang w:eastAsia="es-ES"/>
        </w:rPr>
      </w:pPr>
    </w:p>
    <w:p w:rsidR="000359BE" w:rsidRDefault="000359BE" w:rsidP="000359BE">
      <w:pPr>
        <w:rPr>
          <w:rFonts w:ascii="Montserrat" w:hAnsi="Montserrat"/>
          <w:sz w:val="18"/>
          <w:szCs w:val="18"/>
        </w:rPr>
      </w:pPr>
    </w:p>
    <w:p w:rsidR="000359BE" w:rsidRDefault="000359BE" w:rsidP="000359BE">
      <w:pPr>
        <w:tabs>
          <w:tab w:val="left" w:pos="5529"/>
          <w:tab w:val="left" w:pos="8640"/>
        </w:tabs>
        <w:ind w:left="567" w:right="-1" w:hanging="567"/>
        <w:jc w:val="both"/>
        <w:outlineLvl w:val="0"/>
        <w:rPr>
          <w:rFonts w:ascii="Montserrat" w:hAnsi="Montserrat"/>
          <w:sz w:val="18"/>
          <w:szCs w:val="18"/>
          <w:lang w:val="es-MX"/>
        </w:rPr>
      </w:pPr>
      <w:r>
        <w:rPr>
          <w:rFonts w:ascii="Montserrat" w:eastAsia="MS Mincho" w:hAnsi="Montserrat" w:cs="Times New Roman"/>
          <w:sz w:val="18"/>
          <w:szCs w:val="18"/>
          <w:lang w:eastAsia="es-ES"/>
        </w:rPr>
        <w:t>CREO/SVCP</w:t>
      </w:r>
    </w:p>
    <w:p w:rsidR="000359BE" w:rsidRDefault="000359BE" w:rsidP="000359BE">
      <w:pPr>
        <w:rPr>
          <w:rFonts w:ascii="Montserrat" w:hAnsi="Montserrat"/>
          <w:sz w:val="18"/>
          <w:szCs w:val="18"/>
        </w:rPr>
      </w:pPr>
    </w:p>
    <w:p w:rsidR="000359BE" w:rsidRDefault="000359BE" w:rsidP="000359BE">
      <w:pPr>
        <w:rPr>
          <w:rFonts w:ascii="Montserrat" w:hAnsi="Montserrat"/>
          <w:sz w:val="18"/>
          <w:szCs w:val="18"/>
        </w:rPr>
      </w:pPr>
    </w:p>
    <w:p w:rsidR="000359BE" w:rsidRPr="004A5F84" w:rsidRDefault="000359BE" w:rsidP="000359BE"/>
    <w:p w:rsidR="002F48B8" w:rsidRPr="00C8593E" w:rsidRDefault="002F48B8" w:rsidP="002F48B8">
      <w:pPr>
        <w:pStyle w:val="Piedepgina"/>
        <w:ind w:right="-1085"/>
        <w:rPr>
          <w:rFonts w:ascii="Montserrat Regular" w:hAnsi="Montserrat Regular"/>
          <w:sz w:val="18"/>
          <w:szCs w:val="18"/>
          <w:lang w:val="es-MX"/>
        </w:rPr>
      </w:pPr>
    </w:p>
    <w:sectPr w:rsidR="002F48B8" w:rsidRPr="00C8593E" w:rsidSect="00661CA6">
      <w:headerReference w:type="even" r:id="rId8"/>
      <w:headerReference w:type="default" r:id="rId9"/>
      <w:footerReference w:type="even" r:id="rId10"/>
      <w:footerReference w:type="default" r:id="rId11"/>
      <w:headerReference w:type="first" r:id="rId12"/>
      <w:footerReference w:type="first" r:id="rId13"/>
      <w:pgSz w:w="12242" w:h="15842"/>
      <w:pgMar w:top="1418" w:right="1134" w:bottom="1701" w:left="1134" w:header="850" w:footer="952" w:gutter="0"/>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8A9" w:rsidRDefault="003E28A9" w:rsidP="00FA660E">
      <w:r>
        <w:separator/>
      </w:r>
    </w:p>
  </w:endnote>
  <w:endnote w:type="continuationSeparator" w:id="0">
    <w:p w:rsidR="003E28A9" w:rsidRDefault="003E28A9"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Draft 10cpi">
    <w:panose1 w:val="00000000000000000000"/>
    <w:charset w:val="00"/>
    <w:family w:val="modern"/>
    <w:notTrueType/>
    <w:pitch w:val="fixed"/>
    <w:sig w:usb0="00000003" w:usb1="00000000" w:usb2="00000000" w:usb3="00000000" w:csb0="00000001" w:csb1="00000000"/>
  </w:font>
  <w:font w:name="Montserrat Bold">
    <w:panose1 w:val="000008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S Mincho">
    <w:altName w:val="Yu Gothic UI"/>
    <w:panose1 w:val="02020609040205080304"/>
    <w:charset w:val="80"/>
    <w:family w:val="modern"/>
    <w:pitch w:val="fixed"/>
    <w:sig w:usb0="E00002FF" w:usb1="6AC7FDFB" w:usb2="00000012" w:usb3="00000000" w:csb0="0002009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ACD" w:rsidRDefault="00A56ACD">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2612311"/>
      <w:docPartObj>
        <w:docPartGallery w:val="Page Numbers (Bottom of Page)"/>
        <w:docPartUnique/>
      </w:docPartObj>
    </w:sdtPr>
    <w:sdtEndPr/>
    <w:sdtContent>
      <w:p w:rsidR="00D20217" w:rsidRPr="00D20217" w:rsidRDefault="00D20217">
        <w:pPr>
          <w:pStyle w:val="Piedepgina"/>
          <w:jc w:val="center"/>
          <w:rPr>
            <w:rFonts w:ascii="Montserrat" w:hAnsi="Montserrat"/>
            <w:sz w:val="18"/>
          </w:rPr>
        </w:pPr>
        <w:r w:rsidRPr="00D20217">
          <w:rPr>
            <w:rFonts w:ascii="Montserrat" w:hAnsi="Montserrat"/>
            <w:sz w:val="18"/>
          </w:rPr>
          <w:fldChar w:fldCharType="begin"/>
        </w:r>
        <w:r w:rsidRPr="00D20217">
          <w:rPr>
            <w:rFonts w:ascii="Montserrat" w:hAnsi="Montserrat"/>
            <w:sz w:val="18"/>
          </w:rPr>
          <w:instrText>PAGE   \* MERGEFORMAT</w:instrText>
        </w:r>
        <w:r w:rsidRPr="00D20217">
          <w:rPr>
            <w:rFonts w:ascii="Montserrat" w:hAnsi="Montserrat"/>
            <w:sz w:val="18"/>
          </w:rPr>
          <w:fldChar w:fldCharType="separate"/>
        </w:r>
        <w:r w:rsidR="00416524" w:rsidRPr="00416524">
          <w:rPr>
            <w:rFonts w:ascii="Montserrat" w:hAnsi="Montserrat"/>
            <w:noProof/>
            <w:sz w:val="18"/>
            <w:lang w:val="es-ES"/>
          </w:rPr>
          <w:t>2</w:t>
        </w:r>
        <w:r w:rsidRPr="00D20217">
          <w:rPr>
            <w:rFonts w:ascii="Montserrat" w:hAnsi="Montserrat"/>
            <w:sz w:val="18"/>
          </w:rPr>
          <w:fldChar w:fldCharType="end"/>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20217" w:rsidTr="00DA0712">
          <w:tc>
            <w:tcPr>
              <w:tcW w:w="10114" w:type="dxa"/>
            </w:tcPr>
            <w:p w:rsidR="00D20217" w:rsidRDefault="00D20217" w:rsidP="00D20217">
              <w:pPr>
                <w:pStyle w:val="Piedepgina"/>
                <w:rPr>
                  <w:rFonts w:ascii="Montserrat SemiBold" w:hAnsi="Montserrat SemiBold"/>
                  <w:color w:val="BC9500"/>
                  <w:sz w:val="14"/>
                  <w:szCs w:val="14"/>
                </w:rPr>
              </w:pPr>
              <w:r w:rsidRPr="00464B6F">
                <w:rPr>
                  <w:rFonts w:ascii="Montserrat SemiBold" w:hAnsi="Montserrat SemiBold"/>
                  <w:color w:val="BC9500"/>
                  <w:sz w:val="14"/>
                  <w:szCs w:val="14"/>
                </w:rPr>
                <w:t xml:space="preserve">Av. Miguel Alemán kilómetro 8.4, número 6345, colonia Riberas de la Purísima, Guadalupe, Nuevo León. </w:t>
              </w:r>
            </w:p>
            <w:p w:rsidR="00D20217" w:rsidRPr="00464B6F" w:rsidRDefault="00D20217" w:rsidP="00D20217">
              <w:pPr>
                <w:pStyle w:val="Piedepgina"/>
                <w:rPr>
                  <w:rFonts w:ascii="Montserrat SemiBold" w:hAnsi="Montserrat SemiBold"/>
                  <w:color w:val="BC9500"/>
                  <w:sz w:val="14"/>
                  <w:szCs w:val="14"/>
                </w:rPr>
              </w:pPr>
              <w:r w:rsidRPr="00464B6F">
                <w:rPr>
                  <w:rFonts w:ascii="Montserrat SemiBold" w:hAnsi="Montserrat SemiBold"/>
                  <w:color w:val="BC9500"/>
                  <w:sz w:val="14"/>
                  <w:szCs w:val="14"/>
                </w:rPr>
                <w:t>C.P. 67139.sat.gob.mx / Marca</w:t>
              </w:r>
              <w:r>
                <w:rPr>
                  <w:rFonts w:ascii="Montserrat SemiBold" w:hAnsi="Montserrat SemiBold"/>
                  <w:color w:val="BC9500"/>
                  <w:sz w:val="14"/>
                  <w:szCs w:val="14"/>
                </w:rPr>
                <w:t xml:space="preserve"> </w:t>
              </w:r>
              <w:r w:rsidRPr="00464B6F">
                <w:rPr>
                  <w:rFonts w:ascii="Montserrat SemiBold" w:hAnsi="Montserrat SemiBold"/>
                  <w:color w:val="BC9500"/>
                  <w:sz w:val="14"/>
                  <w:szCs w:val="14"/>
                </w:rPr>
                <w:t>SAT 01 (81) 44 78 43</w:t>
              </w:r>
            </w:p>
            <w:p w:rsidR="00D20217" w:rsidRDefault="00D20217" w:rsidP="00D20217">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8992" behindDoc="0" locked="0" layoutInCell="1" allowOverlap="1" wp14:anchorId="0499EC30" wp14:editId="20069082">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1="http://schemas.microsoft.com/office/drawing/2015/9/8/chart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D20217" w:rsidTr="00DA0712">
          <w:tc>
            <w:tcPr>
              <w:tcW w:w="10114" w:type="dxa"/>
            </w:tcPr>
            <w:p w:rsidR="00D20217" w:rsidRDefault="00D20217" w:rsidP="00D20217">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752" behindDoc="1" locked="0" layoutInCell="1" allowOverlap="1" wp14:anchorId="36E27F01" wp14:editId="2A2F108C">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1="http://schemas.microsoft.com/office/drawing/2015/9/8/chart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C64BBD" w:rsidRPr="00D20217" w:rsidRDefault="00416524" w:rsidP="00D20217">
        <w:pPr>
          <w:pStyle w:val="Piedepgina"/>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ACD" w:rsidRDefault="00A56AC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8A9" w:rsidRDefault="003E28A9" w:rsidP="00FA660E">
      <w:r>
        <w:separator/>
      </w:r>
    </w:p>
  </w:footnote>
  <w:footnote w:type="continuationSeparator" w:id="0">
    <w:p w:rsidR="003E28A9" w:rsidRDefault="003E28A9" w:rsidP="00FA66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ACD" w:rsidRDefault="00A56ACD">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2926"/>
    </w:tblGrid>
    <w:tr w:rsidR="00C64BBD" w:rsidTr="00576A91">
      <w:trPr>
        <w:jc w:val="center"/>
      </w:trPr>
      <w:tc>
        <w:tcPr>
          <w:tcW w:w="7564" w:type="dxa"/>
        </w:tcPr>
        <w:p w:rsidR="00C64BBD" w:rsidRDefault="00487859" w:rsidP="00FA660E">
          <w:pPr>
            <w:pStyle w:val="Encabezado"/>
          </w:pPr>
          <w:r>
            <w:rPr>
              <w:noProof/>
              <w:lang w:val="es-MX" w:eastAsia="es-MX"/>
            </w:rPr>
            <w:drawing>
              <wp:inline distT="0" distB="0" distL="0" distR="0" wp14:anchorId="7C1DC657" wp14:editId="1D4F00CD">
                <wp:extent cx="4666448" cy="51324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2926" w:type="dxa"/>
        </w:tcPr>
        <w:p w:rsidR="00897833" w:rsidRDefault="00897833" w:rsidP="00897833">
          <w:pPr>
            <w:pStyle w:val="Encabezado"/>
            <w:ind w:left="-180"/>
            <w:jc w:val="right"/>
            <w:rPr>
              <w:rFonts w:ascii="Montserrat ExtraBold" w:hAnsi="Montserrat ExtraBold"/>
              <w:sz w:val="16"/>
              <w:szCs w:val="16"/>
            </w:rPr>
          </w:pPr>
          <w:r>
            <w:rPr>
              <w:rFonts w:ascii="Montserrat ExtraBold" w:hAnsi="Montserrat ExtraBold"/>
              <w:sz w:val="16"/>
              <w:szCs w:val="16"/>
            </w:rPr>
            <w:t>Administración General Jurídica</w:t>
          </w:r>
        </w:p>
        <w:p w:rsidR="00897833" w:rsidRDefault="00897833" w:rsidP="00897833">
          <w:pPr>
            <w:pStyle w:val="Encabezado"/>
            <w:ind w:left="-951" w:firstLine="951"/>
            <w:jc w:val="right"/>
          </w:pPr>
          <w:r>
            <w:rPr>
              <w:rFonts w:ascii="Montserrat Regular" w:hAnsi="Montserrat Regular"/>
              <w:sz w:val="14"/>
              <w:szCs w:val="14"/>
            </w:rPr>
            <w:t>Administración Desconcentrada Jurídica de Nuevo León “2”</w:t>
          </w:r>
        </w:p>
        <w:p w:rsidR="00C64BBD" w:rsidRDefault="00C64BBD" w:rsidP="00FA660E">
          <w:pPr>
            <w:pStyle w:val="Encabezado"/>
          </w:pPr>
        </w:p>
      </w:tc>
    </w:tr>
  </w:tbl>
  <w:p w:rsidR="00D81B31" w:rsidRDefault="00D81B31" w:rsidP="000359BE">
    <w:pPr>
      <w:rPr>
        <w:rFonts w:ascii="Montserrat" w:hAnsi="Montserrat"/>
        <w:b/>
        <w:sz w:val="18"/>
        <w:szCs w:val="18"/>
        <w:lang w:val="es-MX"/>
      </w:rPr>
    </w:pPr>
    <w:r>
      <w:rPr>
        <w:rFonts w:ascii="Montserrat" w:hAnsi="Montserrat"/>
        <w:b/>
        <w:sz w:val="18"/>
        <w:szCs w:val="18"/>
      </w:rPr>
      <w:t xml:space="preserve">600-42-2022-05-4172 </w:t>
    </w:r>
  </w:p>
  <w:p w:rsidR="000359BE" w:rsidRPr="000359BE" w:rsidRDefault="000359BE" w:rsidP="000359BE">
    <w:pPr>
      <w:rPr>
        <w:rFonts w:ascii="Montserrat" w:eastAsia="Times New Roman" w:hAnsi="Montserrat" w:cs="Calibri"/>
        <w:b/>
        <w:bCs/>
        <w:color w:val="000000"/>
        <w:sz w:val="18"/>
        <w:szCs w:val="18"/>
        <w:lang w:val="es-MX" w:eastAsia="es-MX"/>
      </w:rPr>
    </w:pPr>
    <w:r w:rsidRPr="000359BE">
      <w:rPr>
        <w:rFonts w:ascii="Montserrat" w:hAnsi="Montserrat"/>
        <w:sz w:val="18"/>
        <w:szCs w:val="22"/>
      </w:rPr>
      <w:t>Exp. 12C-7-2022-01-NUEVO LEÓN 2-03 PORTAL DE TRANSPARENCIA</w:t>
    </w:r>
  </w:p>
  <w:p w:rsidR="000359BE" w:rsidRPr="009E1C0E" w:rsidRDefault="00D81B31" w:rsidP="00D81B31">
    <w:pPr>
      <w:tabs>
        <w:tab w:val="center" w:pos="4419"/>
        <w:tab w:val="right" w:pos="8838"/>
      </w:tabs>
      <w:rPr>
        <w:rFonts w:ascii="Montserrat" w:hAnsi="Montserrat"/>
        <w:sz w:val="18"/>
        <w:szCs w:val="22"/>
      </w:rPr>
    </w:pPr>
    <w:r>
      <w:rPr>
        <w:rFonts w:ascii="Montserrat" w:hAnsi="Montserrat"/>
        <w:sz w:val="18"/>
        <w:szCs w:val="22"/>
      </w:rPr>
      <w:t>Folio SIFEN:</w:t>
    </w:r>
    <w:r w:rsidR="004B171E">
      <w:rPr>
        <w:rFonts w:ascii="Montserrat" w:hAnsi="Montserrat"/>
        <w:sz w:val="18"/>
        <w:szCs w:val="22"/>
      </w:rPr>
      <w:t xml:space="preserve">4305519 </w:t>
    </w:r>
    <w:r>
      <w:rPr>
        <w:rFonts w:ascii="Montserrat" w:hAnsi="Montserrat"/>
        <w:sz w:val="18"/>
        <w:szCs w:val="22"/>
      </w:rPr>
      <w:t xml:space="preserve"> </w:t>
    </w:r>
  </w:p>
  <w:p w:rsidR="000359BE" w:rsidRPr="009E1C0E" w:rsidRDefault="000359BE" w:rsidP="000359BE">
    <w:pPr>
      <w:rPr>
        <w:rFonts w:ascii="Montserrat" w:hAnsi="Montserrat" w:cs="Arial"/>
        <w:sz w:val="18"/>
        <w:szCs w:val="18"/>
        <w:lang w:val="es-MX"/>
      </w:rPr>
    </w:pPr>
    <w:r w:rsidRPr="009E1C0E">
      <w:rPr>
        <w:rFonts w:ascii="Montserrat" w:hAnsi="Montserrat"/>
        <w:sz w:val="18"/>
        <w:szCs w:val="18"/>
        <w:lang w:val="en-US"/>
      </w:rPr>
      <w:t xml:space="preserve">R.F.C. </w:t>
    </w:r>
    <w:r w:rsidR="00D81B31">
      <w:rPr>
        <w:rFonts w:ascii="Montserrat" w:hAnsi="Montserrat"/>
        <w:sz w:val="18"/>
        <w:szCs w:val="18"/>
        <w:lang w:val="es-MX"/>
      </w:rPr>
      <w:t xml:space="preserve">SAT970701NN3 </w:t>
    </w:r>
  </w:p>
  <w:p w:rsidR="00C64BBD" w:rsidRPr="00FA660E" w:rsidRDefault="00C64BBD" w:rsidP="00576A91">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ACD" w:rsidRDefault="00A56ACD">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start w:val="1"/>
      <w:numFmt w:val="bullet"/>
      <w:lvlText w:val=""/>
      <w:lvlJc w:val="left"/>
      <w:pPr>
        <w:ind w:left="2160" w:hanging="360"/>
      </w:pPr>
      <w:rPr>
        <w:rFonts w:ascii="Wingdings" w:hAnsi="Wingdings" w:hint="default"/>
      </w:rPr>
    </w:lvl>
    <w:lvl w:ilvl="3" w:tplc="580A0001">
      <w:start w:val="1"/>
      <w:numFmt w:val="bullet"/>
      <w:lvlText w:val=""/>
      <w:lvlJc w:val="left"/>
      <w:pPr>
        <w:ind w:left="2880" w:hanging="360"/>
      </w:pPr>
      <w:rPr>
        <w:rFonts w:ascii="Symbol" w:hAnsi="Symbol" w:hint="default"/>
      </w:rPr>
    </w:lvl>
    <w:lvl w:ilvl="4" w:tplc="580A0003">
      <w:start w:val="1"/>
      <w:numFmt w:val="bullet"/>
      <w:lvlText w:val="o"/>
      <w:lvlJc w:val="left"/>
      <w:pPr>
        <w:ind w:left="3600" w:hanging="360"/>
      </w:pPr>
      <w:rPr>
        <w:rFonts w:ascii="Courier New" w:hAnsi="Courier New" w:cs="Courier New" w:hint="default"/>
      </w:rPr>
    </w:lvl>
    <w:lvl w:ilvl="5" w:tplc="580A0005">
      <w:start w:val="1"/>
      <w:numFmt w:val="bullet"/>
      <w:lvlText w:val=""/>
      <w:lvlJc w:val="left"/>
      <w:pPr>
        <w:ind w:left="4320" w:hanging="360"/>
      </w:pPr>
      <w:rPr>
        <w:rFonts w:ascii="Wingdings" w:hAnsi="Wingdings" w:hint="default"/>
      </w:rPr>
    </w:lvl>
    <w:lvl w:ilvl="6" w:tplc="580A0001">
      <w:start w:val="1"/>
      <w:numFmt w:val="bullet"/>
      <w:lvlText w:val=""/>
      <w:lvlJc w:val="left"/>
      <w:pPr>
        <w:ind w:left="5040" w:hanging="360"/>
      </w:pPr>
      <w:rPr>
        <w:rFonts w:ascii="Symbol" w:hAnsi="Symbol" w:hint="default"/>
      </w:rPr>
    </w:lvl>
    <w:lvl w:ilvl="7" w:tplc="580A0003">
      <w:start w:val="1"/>
      <w:numFmt w:val="bullet"/>
      <w:lvlText w:val="o"/>
      <w:lvlJc w:val="left"/>
      <w:pPr>
        <w:ind w:left="5760" w:hanging="360"/>
      </w:pPr>
      <w:rPr>
        <w:rFonts w:ascii="Courier New" w:hAnsi="Courier New" w:cs="Courier New" w:hint="default"/>
      </w:rPr>
    </w:lvl>
    <w:lvl w:ilvl="8" w:tplc="580A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cumentProtection w:edit="readOnly" w:enforcement="1" w:cryptProviderType="rsaAES" w:cryptAlgorithmClass="hash" w:cryptAlgorithmType="typeAny" w:cryptAlgorithmSid="14" w:cryptSpinCount="100000" w:hash="x8BPr/HPLCPxHqinEa34C/5S/RBfLEZGez2RX6u83m8ptqq7EE9uVh3rV6MTxruYVXTeVILWFsxpHWb3+z9FEg==" w:salt="fjetS0vp8pXGAXTh1iVdHg=="/>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 Desconcentrado Jurídico de la Administración Desconcentrada Jurídica de Nuevo León &quot;3&quot;"/>
    <w:docVar w:name="etiquetaFirmaDigital" w:val="Firma Electrónica:_x000a_Ad9NRs+AecrdzgrvxNQ8FjwfgOWxM+wSxWb1rY94O67WQYZ/LWOG90YXW9Rhpt91+GFViq6GEkHVQ16bEmtcpp8yQr2WNUeLkyn70AL/D3AhpbO4sfpBJwdxtpsOfI5IQmWLM7xhcdXU+ul4+NiaPIKnqASdJXAmcJ6gwnf14vo4et0tKWFjD6trMH3ldf8ODXJBNPCPHfqyN6rU5ckQoJraoXIMF1L0R4v3AmXlUior40JMb2JSqAKHPQUrqm+jsqwq75A+ZZdrzebQCfZdAwXYIXcO5SOxbJyfTpLZQCsjRpDPlFZF4T+bYGHAfLiiMXz7wbCb1cjqsAHVRqKmuQ=="/>
    <w:docVar w:name="etiquetaFolioUnico" w:val="4305519"/>
    <w:docVar w:name="etiquetaNombreFuncionario" w:val="Carlos Rodrigo Escamilla Ortiz"/>
    <w:docVar w:name="etiquetaSelloDigital" w:val="Cadena original: _x000a_||SAT970701NN3|Comité de Transparencia del Servicio de Administración Tributaria        |600-42-2022-05-4172|28 de junio de 2022|6/28/2022 5:28:54 PM|00001088888800000031||_x000a__x000a_Sello digital: _x000a_JOSyDEE5wLDkvZ8E8z9n9ECxdPmRGjhZLzhOVG/nswmZnNiREqQ6IWgGBc8b2TKZ+wRO4rueDALFExiHeklUoxB8XPvLXfaAxvIUDUzeMYLb2BFwYnEucWCj1B5iK+z84JvmP2c4MoW1f6Jmqq/zKETFvRsULf08HQpzwlsNgDI="/>
    <w:docVar w:name="fechaO" w:val="28 de junio de 2022"/>
    <w:docVar w:name="formatoFecha" w:val="dd 'de' MMMM 'de' yyyy"/>
    <w:docVar w:name="horarioVerano" w:val="1df8e2635af1f92559c76af1913d3865|0c021e403be8c8bcf1cf2ddce48431a6"/>
    <w:docVar w:name="leyenda" w:val=". "/>
    <w:docVar w:name="nombre" w:val="Comité de Transparencia del Servicio de Administración Tributaria        "/>
    <w:docVar w:name="nombreArchivoCreado" w:val="C:\Users\CAPS944T\Desktop\4172 - 2022 Exp. 12C-7-2022-01-NUEVO LEÓN 2-03 PORTAL DE TRANSPARENCIA.docx"/>
    <w:docVar w:name="oficio" w:val="600-42-2022-05-4172"/>
    <w:docVar w:name="QR" w:val="QR"/>
    <w:docVar w:name="rfc" w:val="SAT970701NN3"/>
  </w:docVars>
  <w:rsids>
    <w:rsidRoot w:val="00FA660E"/>
    <w:rsid w:val="000359BE"/>
    <w:rsid w:val="00036507"/>
    <w:rsid w:val="00054B34"/>
    <w:rsid w:val="000A2EA0"/>
    <w:rsid w:val="000A7AFF"/>
    <w:rsid w:val="000F77CE"/>
    <w:rsid w:val="00120329"/>
    <w:rsid w:val="00147797"/>
    <w:rsid w:val="0016130E"/>
    <w:rsid w:val="001A762E"/>
    <w:rsid w:val="001B7B00"/>
    <w:rsid w:val="002054F2"/>
    <w:rsid w:val="0023246E"/>
    <w:rsid w:val="00247A08"/>
    <w:rsid w:val="00260577"/>
    <w:rsid w:val="002A73A1"/>
    <w:rsid w:val="002B3C9A"/>
    <w:rsid w:val="002D7153"/>
    <w:rsid w:val="002F48B8"/>
    <w:rsid w:val="002F7DD8"/>
    <w:rsid w:val="0036133B"/>
    <w:rsid w:val="0036343F"/>
    <w:rsid w:val="00365C3B"/>
    <w:rsid w:val="0039508E"/>
    <w:rsid w:val="003B7607"/>
    <w:rsid w:val="003E28A9"/>
    <w:rsid w:val="00416524"/>
    <w:rsid w:val="00453032"/>
    <w:rsid w:val="00487810"/>
    <w:rsid w:val="00487859"/>
    <w:rsid w:val="004B171E"/>
    <w:rsid w:val="004D132A"/>
    <w:rsid w:val="004F55D4"/>
    <w:rsid w:val="00505465"/>
    <w:rsid w:val="00536A89"/>
    <w:rsid w:val="00542B0F"/>
    <w:rsid w:val="00557CD1"/>
    <w:rsid w:val="00560C8B"/>
    <w:rsid w:val="00576A91"/>
    <w:rsid w:val="005925B0"/>
    <w:rsid w:val="005F6702"/>
    <w:rsid w:val="00614793"/>
    <w:rsid w:val="00627C3C"/>
    <w:rsid w:val="006610B2"/>
    <w:rsid w:val="00661CA6"/>
    <w:rsid w:val="00664A4A"/>
    <w:rsid w:val="006A19DF"/>
    <w:rsid w:val="007267A7"/>
    <w:rsid w:val="00731634"/>
    <w:rsid w:val="007338A4"/>
    <w:rsid w:val="00734CD7"/>
    <w:rsid w:val="00750632"/>
    <w:rsid w:val="007661AC"/>
    <w:rsid w:val="00767905"/>
    <w:rsid w:val="007A6B28"/>
    <w:rsid w:val="007B0452"/>
    <w:rsid w:val="00844DBD"/>
    <w:rsid w:val="00853470"/>
    <w:rsid w:val="0086073D"/>
    <w:rsid w:val="00885202"/>
    <w:rsid w:val="00897833"/>
    <w:rsid w:val="008D7A35"/>
    <w:rsid w:val="0090230A"/>
    <w:rsid w:val="00956714"/>
    <w:rsid w:val="00971E98"/>
    <w:rsid w:val="00996542"/>
    <w:rsid w:val="009B1564"/>
    <w:rsid w:val="009B1DD2"/>
    <w:rsid w:val="00A31505"/>
    <w:rsid w:val="00A34F00"/>
    <w:rsid w:val="00A56ACD"/>
    <w:rsid w:val="00AB7D69"/>
    <w:rsid w:val="00AE447A"/>
    <w:rsid w:val="00B04EA0"/>
    <w:rsid w:val="00B16FEB"/>
    <w:rsid w:val="00BF59BA"/>
    <w:rsid w:val="00C35CCB"/>
    <w:rsid w:val="00C64BBD"/>
    <w:rsid w:val="00C74D6D"/>
    <w:rsid w:val="00C8593E"/>
    <w:rsid w:val="00D20217"/>
    <w:rsid w:val="00D27765"/>
    <w:rsid w:val="00D762B3"/>
    <w:rsid w:val="00D81B31"/>
    <w:rsid w:val="00DF4E53"/>
    <w:rsid w:val="00E60992"/>
    <w:rsid w:val="00E64926"/>
    <w:rsid w:val="00E71D35"/>
    <w:rsid w:val="00E81318"/>
    <w:rsid w:val="00EA24DB"/>
    <w:rsid w:val="00EA2CAA"/>
    <w:rsid w:val="00EA33D5"/>
    <w:rsid w:val="00EB25C7"/>
    <w:rsid w:val="00ED357E"/>
    <w:rsid w:val="00ED5C40"/>
    <w:rsid w:val="00EE338D"/>
    <w:rsid w:val="00F16BFA"/>
    <w:rsid w:val="00F5339B"/>
    <w:rsid w:val="00F75C13"/>
    <w:rsid w:val="00FA660E"/>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efaultImageDpi w14:val="330"/>
  <w15:docId w15:val="{BF20AE26-1752-4462-BFFE-ED3DA3BA7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Car,Car Car Car Car,Car Car,encabezado Car Car Car Car,encabezado Car Car,encabezado Car Car Car Car Car,Car Car Car,ManualMASECA, Car,Plain Text,Encabezado1,Header Char, Car Car Car Car, Car Car Car"/>
    <w:basedOn w:val="Normal"/>
    <w:link w:val="EncabezadoCar"/>
    <w:unhideWhenUsed/>
    <w:qFormat/>
    <w:rsid w:val="00FA660E"/>
    <w:pPr>
      <w:tabs>
        <w:tab w:val="center" w:pos="4419"/>
        <w:tab w:val="right" w:pos="8838"/>
      </w:tabs>
    </w:pPr>
  </w:style>
  <w:style w:type="character" w:customStyle="1" w:styleId="EncabezadoCar">
    <w:name w:val="Encabezado Car"/>
    <w:aliases w:val="encabezado Car,Car Car1,Car Car Car Car Car,Car Car Car1,encabezado Car Car Car Car Car1,encabezado Car Car Car,encabezado Car Car Car Car Car Car,Car Car Car Car1,ManualMASECA Car, Car Car,Plain Text Car,Encabezado1 Car,Header Char Car"/>
    <w:basedOn w:val="Fuentedeprrafopredeter"/>
    <w:link w:val="Encabezado"/>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paragraph" w:styleId="Sangra3detindependiente">
    <w:name w:val="Body Text Indent 3"/>
    <w:basedOn w:val="Normal"/>
    <w:link w:val="Sangra3detindependienteCar"/>
    <w:uiPriority w:val="99"/>
    <w:semiHidden/>
    <w:unhideWhenUsed/>
    <w:rsid w:val="00576A91"/>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576A91"/>
    <w:rPr>
      <w:sz w:val="16"/>
      <w:szCs w:val="16"/>
    </w:rPr>
  </w:style>
  <w:style w:type="paragraph" w:customStyle="1" w:styleId="wordsection1">
    <w:name w:val="wordsection1"/>
    <w:basedOn w:val="Normal"/>
    <w:uiPriority w:val="99"/>
    <w:rsid w:val="000359BE"/>
    <w:rPr>
      <w:rFonts w:ascii="Times New Roman" w:eastAsia="Calibri" w:hAnsi="Times New Roman" w:cs="Times New Roman"/>
      <w:lang w:val="es-419" w:eastAsia="es-419"/>
    </w:rPr>
  </w:style>
  <w:style w:type="paragraph" w:styleId="Subttulo">
    <w:name w:val="Subtitle"/>
    <w:basedOn w:val="Normal"/>
    <w:link w:val="SubttuloCar"/>
    <w:qFormat/>
    <w:rsid w:val="000359BE"/>
    <w:pPr>
      <w:jc w:val="right"/>
      <w:outlineLvl w:val="0"/>
    </w:pPr>
    <w:rPr>
      <w:rFonts w:ascii="Arial" w:eastAsia="Times" w:hAnsi="Arial" w:cs="Times New Roman"/>
      <w:sz w:val="28"/>
      <w:szCs w:val="20"/>
      <w:lang w:eastAsia="es-ES"/>
    </w:rPr>
  </w:style>
  <w:style w:type="character" w:customStyle="1" w:styleId="SubttuloCar">
    <w:name w:val="Subtítulo Car"/>
    <w:basedOn w:val="Fuentedeprrafopredeter"/>
    <w:link w:val="Subttulo"/>
    <w:rsid w:val="000359BE"/>
    <w:rPr>
      <w:rFonts w:ascii="Arial" w:eastAsia="Times" w:hAnsi="Arial" w:cs="Times New Roman"/>
      <w:sz w:val="28"/>
      <w:szCs w:val="20"/>
      <w:lang w:eastAsia="es-ES"/>
    </w:rPr>
  </w:style>
  <w:style w:type="character" w:customStyle="1" w:styleId="AtentamenteCar">
    <w:name w:val="Atentamente Car"/>
    <w:basedOn w:val="Fuentedeprrafopredeter"/>
    <w:link w:val="Atentamente"/>
    <w:locked/>
    <w:rsid w:val="000359BE"/>
    <w:rPr>
      <w:rFonts w:ascii="Draft 10cpi" w:eastAsia="Times New Roman" w:hAnsi="Draft 10cpi" w:cs="Times New Roman"/>
      <w:szCs w:val="20"/>
      <w:lang w:eastAsia="es-ES"/>
    </w:rPr>
  </w:style>
  <w:style w:type="paragraph" w:customStyle="1" w:styleId="Atentamente">
    <w:name w:val="Atentamente"/>
    <w:basedOn w:val="Encabezado"/>
    <w:link w:val="AtentamenteCar"/>
    <w:qFormat/>
    <w:rsid w:val="000359BE"/>
    <w:pPr>
      <w:tabs>
        <w:tab w:val="clear" w:pos="4419"/>
        <w:tab w:val="clear" w:pos="8838"/>
        <w:tab w:val="center" w:pos="4252"/>
        <w:tab w:val="right" w:pos="8504"/>
      </w:tabs>
      <w:ind w:left="5040"/>
      <w:jc w:val="center"/>
    </w:pPr>
    <w:rPr>
      <w:rFonts w:ascii="Draft 10cpi" w:eastAsia="Times New Roman" w:hAnsi="Draft 10cpi" w:cs="Times New Roman"/>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71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811</Words>
  <Characters>4461</Characters>
  <Application>Microsoft Office Word</Application>
  <DocSecurity>8</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Carlos Rodrigo Escamilla Ortiz</cp:lastModifiedBy>
  <cp:revision>10</cp:revision>
  <cp:lastPrinted>2022-06-28T22:28:00Z</cp:lastPrinted>
  <dcterms:created xsi:type="dcterms:W3CDTF">2022-06-28T22:27:00Z</dcterms:created>
  <dcterms:modified xsi:type="dcterms:W3CDTF">2022-06-28T22:28:00Z</dcterms:modified>
</cp:coreProperties>
</file>